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8" w:rsidRDefault="004309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0928" w:rsidRDefault="00430928">
      <w:pPr>
        <w:pStyle w:val="ConsPlusNormal"/>
        <w:jc w:val="both"/>
        <w:outlineLvl w:val="0"/>
      </w:pPr>
    </w:p>
    <w:p w:rsidR="00430928" w:rsidRDefault="0043092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430928" w:rsidRDefault="00430928">
      <w:pPr>
        <w:pStyle w:val="ConsPlusTitle"/>
        <w:jc w:val="center"/>
      </w:pPr>
    </w:p>
    <w:p w:rsidR="00430928" w:rsidRDefault="00430928">
      <w:pPr>
        <w:pStyle w:val="ConsPlusTitle"/>
        <w:jc w:val="center"/>
      </w:pPr>
      <w:r>
        <w:t>ПИСЬМО</w:t>
      </w:r>
    </w:p>
    <w:p w:rsidR="00430928" w:rsidRDefault="00430928">
      <w:pPr>
        <w:pStyle w:val="ConsPlusTitle"/>
        <w:jc w:val="center"/>
      </w:pPr>
      <w:r>
        <w:t>от 19 мая 2017 г. N 07-2617</w:t>
      </w:r>
    </w:p>
    <w:p w:rsidR="00430928" w:rsidRDefault="00430928">
      <w:pPr>
        <w:pStyle w:val="ConsPlusTitle"/>
        <w:jc w:val="center"/>
      </w:pPr>
    </w:p>
    <w:p w:rsidR="00430928" w:rsidRDefault="00430928">
      <w:pPr>
        <w:pStyle w:val="ConsPlusTitle"/>
        <w:jc w:val="center"/>
      </w:pPr>
      <w:r>
        <w:t>О НАПРАВЛЕНИИ МЕТОДИЧЕСКИХ РЕКОМЕНДАЦИЙ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(далее - Департамент) направляет для использования в работе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20 февраля 2017 г. N ОГ-П8-37пр.</w:t>
      </w:r>
      <w:proofErr w:type="gramEnd"/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Возросшая статистика травматизма </w:t>
      </w:r>
      <w:proofErr w:type="gramStart"/>
      <w:r>
        <w:t>детей</w:t>
      </w:r>
      <w:proofErr w:type="gramEnd"/>
      <w: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right"/>
      </w:pPr>
      <w:r>
        <w:t>Директор Департамента</w:t>
      </w:r>
    </w:p>
    <w:p w:rsidR="00430928" w:rsidRDefault="00430928">
      <w:pPr>
        <w:pStyle w:val="ConsPlusNormal"/>
        <w:jc w:val="right"/>
      </w:pPr>
      <w:r>
        <w:t>государственной политики</w:t>
      </w:r>
    </w:p>
    <w:p w:rsidR="00430928" w:rsidRDefault="00430928">
      <w:pPr>
        <w:pStyle w:val="ConsPlusNormal"/>
        <w:jc w:val="right"/>
      </w:pPr>
      <w:r>
        <w:t>в сфере защиты прав детей</w:t>
      </w:r>
    </w:p>
    <w:p w:rsidR="00430928" w:rsidRDefault="00430928">
      <w:pPr>
        <w:pStyle w:val="ConsPlusNormal"/>
        <w:jc w:val="right"/>
      </w:pPr>
      <w:r>
        <w:t>Е.А.СИЛЬЯНОВ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right"/>
        <w:outlineLvl w:val="0"/>
      </w:pPr>
      <w:r>
        <w:t>Приложение</w:t>
      </w:r>
    </w:p>
    <w:p w:rsidR="00430928" w:rsidRDefault="00430928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430928" w:rsidRDefault="00430928">
      <w:pPr>
        <w:pStyle w:val="ConsPlusNormal"/>
        <w:jc w:val="right"/>
      </w:pPr>
      <w:r>
        <w:t>от 19.05.2017 N 07-2617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</w:pPr>
      <w:bookmarkStart w:id="0" w:name="P24"/>
      <w:bookmarkEnd w:id="0"/>
      <w:r>
        <w:t>МЕТОДИЧЕСКИЕ РЕКОМЕНДАЦИИ</w:t>
      </w:r>
    </w:p>
    <w:p w:rsidR="00430928" w:rsidRDefault="00430928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430928" w:rsidRDefault="00430928">
      <w:pPr>
        <w:pStyle w:val="ConsPlusNormal"/>
        <w:jc w:val="center"/>
      </w:pPr>
      <w:r>
        <w:t>О РИСКАХ, СВЯЗАННЫХ С ДЕТСКОЙ СМЕРТНОСТЬЮ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1"/>
      </w:pPr>
      <w:r>
        <w:t>Введение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</w:t>
      </w:r>
      <w:hyperlink r:id="rId5" w:history="1">
        <w:r>
          <w:rPr>
            <w:color w:val="0000FF"/>
          </w:rPr>
          <w:t>информированию</w:t>
        </w:r>
      </w:hyperlink>
      <w:r>
        <w:t xml:space="preserve"> родителей о рисках, связанных с детской смертностью, и могут быть использованы для организации работы с </w:t>
      </w:r>
      <w:r>
        <w:lastRenderedPageBreak/>
        <w:t>родителями и детьми.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430928" w:rsidRDefault="00430928">
      <w:pPr>
        <w:pStyle w:val="ConsPlusNormal"/>
        <w:jc w:val="center"/>
      </w:pPr>
      <w:r>
        <w:t>к увечьям и смерти детей, их причины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ожоги;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падения с высоты;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утопления;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отравления;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поражения электрическим током;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t>роллинг</w:t>
      </w:r>
      <w:proofErr w:type="spellEnd"/>
      <w:r>
        <w:t xml:space="preserve"> (катание на роликах).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отсутствие должного надзора за детьми всех возрастных групп;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Причины несчастных случаев с детьми имеют возрастную специфику: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бурная энергия и активность - факторы, способствующие возникновению несчастных </w:t>
      </w:r>
      <w:r>
        <w:lastRenderedPageBreak/>
        <w:t>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Создание безопасной среды пребывания ребенка предполагает: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t>избежания</w:t>
      </w:r>
      <w:proofErr w:type="spellEnd"/>
      <w:r>
        <w:t xml:space="preserve"> несчастных случаев;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1"/>
      </w:pPr>
      <w:r>
        <w:t xml:space="preserve">Основные условия проведения </w:t>
      </w:r>
      <w:proofErr w:type="gramStart"/>
      <w:r>
        <w:t>успешной</w:t>
      </w:r>
      <w:proofErr w:type="gramEnd"/>
      <w:r>
        <w:t xml:space="preserve"> профилактической</w:t>
      </w:r>
    </w:p>
    <w:p w:rsidR="00430928" w:rsidRDefault="00430928">
      <w:pPr>
        <w:pStyle w:val="ConsPlusNormal"/>
        <w:jc w:val="center"/>
      </w:pPr>
      <w:r>
        <w:t>работы с детьми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</w:t>
      </w:r>
      <w:r>
        <w:lastRenderedPageBreak/>
        <w:t>ребенка навыки осмотрительного поведения.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3.1. Ожоги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ожогов: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профилактики солнечных ожогов и ударов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lastRenderedPageBreak/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приучать ребенка поддерживать в организме водный баланс: находясь на </w:t>
      </w:r>
      <w:proofErr w:type="gramStart"/>
      <w:r>
        <w:t>отдыхе</w:t>
      </w:r>
      <w:proofErr w:type="gramEnd"/>
      <w:r>
        <w:t xml:space="preserve"> на море, пить не меньше 2 - 3 литров в день;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3.2. Падение с высоты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падения с высоты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запретить детям играть в опасных местах;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 оставлять детей без присмотра на высоте;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3.3. Отравление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отравления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3.4. Поражение электрическим током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поражения электрическим током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запретить детям играть в опасных местах;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3.5. Утопление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утопления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 оставлять ребенка без присмотра вблизи водоема;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 xml:space="preserve">3.6.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научить ребенка стоять и перемещаться на роликах. Для этого можно подвести его к </w:t>
      </w:r>
      <w:r>
        <w:lastRenderedPageBreak/>
        <w:t>перилам, поставить между двух стульев. Важно проследить за правильной постановкой голеностопного сустава;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запретить кататься вблизи проезжей части;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t>попавших</w:t>
      </w:r>
      <w:proofErr w:type="gramEnd"/>
      <w:r>
        <w:t xml:space="preserve"> в дорожное происшествие, попадают под колеса другой машины;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не оставлять детей без присмотра вблизи железнодорожных путей;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430928" w:rsidRDefault="00430928">
      <w:pPr>
        <w:pStyle w:val="ConsPlusNormal"/>
        <w:spacing w:before="220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430928" w:rsidRDefault="00430928">
      <w:pPr>
        <w:pStyle w:val="ConsPlusNormal"/>
        <w:jc w:val="both"/>
      </w:pPr>
    </w:p>
    <w:p w:rsidR="00430928" w:rsidRDefault="00430928">
      <w:pPr>
        <w:pStyle w:val="ConsPlusNormal"/>
        <w:jc w:val="both"/>
      </w:pPr>
    </w:p>
    <w:p w:rsidR="00BC7058" w:rsidRDefault="00BC7058">
      <w:bookmarkStart w:id="1" w:name="_GoBack"/>
      <w:bookmarkEnd w:id="1"/>
    </w:p>
    <w:sectPr w:rsidR="00BC7058" w:rsidSect="002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928"/>
    <w:rsid w:val="003C0B60"/>
    <w:rsid w:val="00430928"/>
    <w:rsid w:val="006836A3"/>
    <w:rsid w:val="00BC7058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A9DBC073F051F91B47DF6E5EF91BC640ADF237EDB06A9FD8B410A3B892039A4EAB53B47939D89B9s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Искорка</cp:lastModifiedBy>
  <cp:revision>4</cp:revision>
  <dcterms:created xsi:type="dcterms:W3CDTF">2017-09-19T18:04:00Z</dcterms:created>
  <dcterms:modified xsi:type="dcterms:W3CDTF">2017-09-19T18:04:00Z</dcterms:modified>
</cp:coreProperties>
</file>